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C391" w14:textId="77777777" w:rsidR="00720350" w:rsidRPr="000573F0" w:rsidRDefault="00720350" w:rsidP="00720350">
      <w:pPr>
        <w:pStyle w:val="Heading1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  <w:lang w:val="de-DE"/>
        </w:rPr>
      </w:pPr>
      <w:r w:rsidRPr="000573F0">
        <w:rPr>
          <w:rFonts w:ascii="Arial" w:hAnsi="Arial" w:cs="Arial"/>
          <w:sz w:val="28"/>
          <w:szCs w:val="28"/>
          <w:lang w:val="de-DE"/>
        </w:rPr>
        <w:t xml:space="preserve">Japan - DENAN </w:t>
      </w:r>
      <w:r>
        <w:rPr>
          <w:rFonts w:ascii="Arial" w:hAnsi="Arial" w:cs="Arial"/>
          <w:sz w:val="28"/>
          <w:szCs w:val="28"/>
          <w:lang w:val="de-DE"/>
        </w:rPr>
        <w:t>(</w:t>
      </w:r>
      <w:r w:rsidRPr="000573F0">
        <w:rPr>
          <w:rFonts w:ascii="Arial" w:hAnsi="Arial" w:cs="Arial"/>
          <w:sz w:val="28"/>
          <w:szCs w:val="28"/>
          <w:lang w:val="de-DE"/>
        </w:rPr>
        <w:t>PSE mark</w:t>
      </w:r>
      <w:r>
        <w:rPr>
          <w:rFonts w:ascii="Arial" w:hAnsi="Arial" w:cs="Arial"/>
          <w:sz w:val="28"/>
          <w:szCs w:val="28"/>
          <w:lang w:val="de-DE"/>
        </w:rPr>
        <w:t>)</w:t>
      </w:r>
      <w:r w:rsidRPr="000573F0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- Latest revision</w:t>
      </w:r>
    </w:p>
    <w:p w14:paraId="49BB41DB" w14:textId="77777777" w:rsidR="00720350" w:rsidRDefault="00720350" w:rsidP="00720350">
      <w:pPr>
        <w:pStyle w:val="Heading1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  <w:lang w:val="de-DE"/>
        </w:rPr>
      </w:pPr>
    </w:p>
    <w:p w14:paraId="2FDA4088" w14:textId="77777777" w:rsidR="00720350" w:rsidRPr="0035426E" w:rsidRDefault="00720350" w:rsidP="00720350">
      <w:pPr>
        <w:spacing w:after="0" w:line="240" w:lineRule="atLeast"/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</w:pPr>
      <w:r w:rsidRPr="00B50875">
        <w:rPr>
          <w:rFonts w:ascii="Arial" w:eastAsia="ＭＳ Ｐゴシック" w:hAnsi="Arial" w:cs="Arial" w:hint="eastAsia"/>
          <w:b/>
          <w:bCs/>
          <w:sz w:val="28"/>
          <w:szCs w:val="28"/>
          <w:u w:val="single"/>
          <w:lang w:val="de-DE"/>
        </w:rPr>
        <w:t xml:space="preserve">Partial revision of </w:t>
      </w:r>
      <w:r w:rsidRPr="00B50875">
        <w:rPr>
          <w:rFonts w:ascii="Arial" w:eastAsia="ＭＳ Ｐゴシック" w:hAnsi="Arial" w:cs="Arial" w:hint="cs"/>
          <w:b/>
          <w:bCs/>
          <w:sz w:val="28"/>
          <w:szCs w:val="28"/>
          <w:u w:val="single"/>
          <w:lang w:val="de-DE"/>
        </w:rPr>
        <w:t>“</w:t>
      </w:r>
      <w:r w:rsidRPr="00B50875"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>About Interpretation of Ministerial Ordinance for Establishing Technical Requirements for Electrical Appliances and Materials”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 xml:space="preserve"> </w:t>
      </w:r>
    </w:p>
    <w:p w14:paraId="5E6C2C3F" w14:textId="77777777" w:rsidR="00ED7E1B" w:rsidRPr="00BB3AA3" w:rsidRDefault="00ED7E1B" w:rsidP="00ED7E1B">
      <w:pPr>
        <w:spacing w:after="0" w:line="240" w:lineRule="atLeast"/>
        <w:rPr>
          <w:rFonts w:ascii="Arial" w:eastAsia="ＭＳ Ｐゴシック" w:hAnsi="Arial" w:cs="Arial"/>
          <w:b/>
          <w:sz w:val="24"/>
          <w:szCs w:val="24"/>
          <w:lang w:val="de-DE"/>
        </w:rPr>
      </w:pPr>
    </w:p>
    <w:p w14:paraId="4D6A52EA" w14:textId="6AF39B3F" w:rsid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It was announced by METI that Appendix 10 and Appnedix 12</w:t>
      </w:r>
      <w:r w:rsidRPr="000573F0">
        <w:rPr>
          <w:rFonts w:ascii="Arial" w:hAnsi="Arial" w:cs="Arial"/>
          <w:bCs/>
          <w:lang w:val="de-DE"/>
        </w:rPr>
        <w:t xml:space="preserve"> of “About Interpretation of Ministerial Ordinance for Establishing Technical Requirements for Electrical Appliances and Mate</w:t>
      </w:r>
      <w:r>
        <w:rPr>
          <w:rFonts w:ascii="Arial" w:hAnsi="Arial" w:cs="Arial"/>
          <w:bCs/>
          <w:lang w:val="de-DE"/>
        </w:rPr>
        <w:t>rials” were revised on August 1,</w:t>
      </w:r>
      <w:r w:rsidRPr="000573F0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202</w:t>
      </w:r>
      <w:r>
        <w:rPr>
          <w:rFonts w:ascii="Arial" w:hAnsi="Arial" w:cs="Arial"/>
          <w:bCs/>
          <w:lang w:val="de-DE"/>
        </w:rPr>
        <w:t>3</w:t>
      </w:r>
      <w:r w:rsidRPr="000573F0">
        <w:rPr>
          <w:rFonts w:ascii="Arial" w:hAnsi="Arial" w:cs="Arial"/>
          <w:bCs/>
          <w:lang w:val="de-DE"/>
        </w:rPr>
        <w:t xml:space="preserve">. </w:t>
      </w:r>
    </w:p>
    <w:p w14:paraId="1E97A08C" w14:textId="39F6DAA0" w:rsid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</w:p>
    <w:p w14:paraId="5437E277" w14:textId="3F2E82E5" w:rsid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 w:rsidRPr="00BA4C9F">
        <w:rPr>
          <w:rFonts w:ascii="Arial" w:hAnsi="Arial" w:cs="Arial"/>
          <w:bCs/>
          <w:lang w:val="de-DE"/>
        </w:rPr>
        <w:t>The effective date of this revision is August 1, 202</w:t>
      </w:r>
      <w:r>
        <w:rPr>
          <w:rFonts w:ascii="Arial" w:hAnsi="Arial" w:cs="Arial"/>
          <w:bCs/>
          <w:lang w:val="de-DE"/>
        </w:rPr>
        <w:t>3</w:t>
      </w:r>
      <w:r w:rsidRPr="00BA4C9F">
        <w:rPr>
          <w:rFonts w:ascii="Arial" w:hAnsi="Arial" w:cs="Arial"/>
          <w:bCs/>
          <w:lang w:val="de-DE"/>
        </w:rPr>
        <w:t xml:space="preserve">. However, for three years after </w:t>
      </w:r>
      <w:r>
        <w:rPr>
          <w:rFonts w:ascii="Arial" w:hAnsi="Arial" w:cs="Arial"/>
          <w:bCs/>
          <w:lang w:val="de-DE"/>
        </w:rPr>
        <w:t>the revision, it is possible to follow the previous interpretation</w:t>
      </w:r>
      <w:r w:rsidRPr="00BA4C9F">
        <w:rPr>
          <w:rFonts w:ascii="Arial" w:hAnsi="Arial" w:cs="Arial"/>
          <w:bCs/>
          <w:lang w:val="de-DE"/>
        </w:rPr>
        <w:t>.</w:t>
      </w:r>
    </w:p>
    <w:p w14:paraId="4E2DF5B4" w14:textId="690E2CBA" w:rsid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</w:p>
    <w:p w14:paraId="4C3C4055" w14:textId="77777777" w:rsid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The outline of this revision is as follows.</w:t>
      </w:r>
    </w:p>
    <w:p w14:paraId="5FD6BDCD" w14:textId="77777777" w:rsid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</w:p>
    <w:p w14:paraId="3329C80D" w14:textId="77777777" w:rsid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 w:rsidRPr="00CB6F17">
        <w:rPr>
          <w:rFonts w:ascii="Arial" w:hAnsi="Arial" w:cs="Arial"/>
          <w:bCs/>
          <w:u w:val="single"/>
          <w:lang w:val="de-DE"/>
        </w:rPr>
        <w:t>Appendix 10</w:t>
      </w:r>
      <w:r>
        <w:rPr>
          <w:rFonts w:ascii="Arial" w:hAnsi="Arial" w:cs="Arial"/>
          <w:bCs/>
          <w:lang w:val="de-DE"/>
        </w:rPr>
        <w:t>:</w:t>
      </w:r>
    </w:p>
    <w:p w14:paraId="21283342" w14:textId="409D150D" w:rsidR="00720350" w:rsidRP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Appendix 10 stipulates t</w:t>
      </w:r>
      <w:r w:rsidRPr="00CB6F17">
        <w:rPr>
          <w:rFonts w:ascii="Arial" w:hAnsi="Arial" w:cs="Arial"/>
          <w:bCs/>
          <w:lang w:val="de-DE"/>
        </w:rPr>
        <w:t xml:space="preserve">he permissible values of </w:t>
      </w:r>
      <w:r>
        <w:rPr>
          <w:rFonts w:ascii="Arial" w:hAnsi="Arial" w:cs="Arial"/>
          <w:bCs/>
          <w:lang w:val="de-DE"/>
        </w:rPr>
        <w:t>radio noise strength</w:t>
      </w:r>
      <w:r w:rsidRPr="00CB6F17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from</w:t>
      </w:r>
      <w:r w:rsidRPr="00CB6F17">
        <w:rPr>
          <w:rFonts w:ascii="Arial" w:hAnsi="Arial" w:cs="Arial"/>
          <w:bCs/>
          <w:lang w:val="de-DE"/>
        </w:rPr>
        <w:t xml:space="preserve"> electrical appliances</w:t>
      </w:r>
      <w:r>
        <w:rPr>
          <w:rFonts w:ascii="Arial" w:hAnsi="Arial" w:cs="Arial"/>
          <w:bCs/>
          <w:lang w:val="de-DE"/>
        </w:rPr>
        <w:t xml:space="preserve"> and </w:t>
      </w:r>
      <w:r>
        <w:rPr>
          <w:rFonts w:ascii="Arial" w:eastAsia="ＭＳ Ｐゴシック" w:hAnsi="Arial" w:cs="Arial"/>
          <w:lang w:val="de-DE"/>
        </w:rPr>
        <w:t>th</w:t>
      </w:r>
      <w:r w:rsidRPr="00720350">
        <w:rPr>
          <w:rFonts w:ascii="Arial" w:eastAsia="ＭＳ Ｐゴシック" w:hAnsi="Arial" w:cs="Arial"/>
          <w:lang w:val="de-DE"/>
        </w:rPr>
        <w:t>e content</w:t>
      </w:r>
      <w:r>
        <w:rPr>
          <w:rFonts w:ascii="Arial" w:eastAsia="ＭＳ Ｐゴシック" w:hAnsi="Arial" w:cs="Arial"/>
          <w:lang w:val="de-DE"/>
        </w:rPr>
        <w:t>s</w:t>
      </w:r>
      <w:r w:rsidRPr="00720350">
        <w:rPr>
          <w:rFonts w:ascii="Arial" w:eastAsia="ＭＳ Ｐゴシック" w:hAnsi="Arial" w:cs="Arial"/>
          <w:lang w:val="de-DE"/>
        </w:rPr>
        <w:t xml:space="preserve"> of IEC standards (including CISPR32</w:t>
      </w:r>
      <w:r>
        <w:rPr>
          <w:rFonts w:ascii="Arial" w:eastAsia="ＭＳ Ｐゴシック" w:hAnsi="Arial" w:cs="Arial"/>
          <w:lang w:val="de-DE"/>
        </w:rPr>
        <w:t xml:space="preserve"> etc.</w:t>
      </w:r>
      <w:r w:rsidRPr="00720350">
        <w:rPr>
          <w:rFonts w:ascii="Arial" w:eastAsia="ＭＳ Ｐゴシック" w:hAnsi="Arial" w:cs="Arial"/>
          <w:lang w:val="de-DE"/>
        </w:rPr>
        <w:t>, EMC standard for radio noise), which adopt the latest international communication disturbance measures for multimedia equipment and home medical equipment, ha</w:t>
      </w:r>
      <w:r>
        <w:rPr>
          <w:rFonts w:ascii="Arial" w:eastAsia="ＭＳ Ｐゴシック" w:hAnsi="Arial" w:cs="Arial"/>
          <w:lang w:val="de-DE"/>
        </w:rPr>
        <w:t>ve</w:t>
      </w:r>
      <w:r w:rsidRPr="00720350">
        <w:rPr>
          <w:rFonts w:ascii="Arial" w:eastAsia="ＭＳ Ｐゴシック" w:hAnsi="Arial" w:cs="Arial"/>
          <w:lang w:val="de-DE"/>
        </w:rPr>
        <w:t xml:space="preserve"> been reflected.</w:t>
      </w:r>
    </w:p>
    <w:p w14:paraId="75D9D2AF" w14:textId="77777777" w:rsidR="00720350" w:rsidRDefault="00720350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3B6F2D4D" w14:textId="77777777" w:rsidR="00720350" w:rsidRDefault="00720350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2E4E5F83" w14:textId="2BFE7560" w:rsidR="00B41028" w:rsidRPr="00720350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 w:rsidRPr="00BA4C9F">
        <w:rPr>
          <w:rFonts w:ascii="Arial" w:hAnsi="Arial" w:cs="Arial"/>
          <w:bCs/>
          <w:u w:val="single"/>
          <w:lang w:val="de-DE"/>
        </w:rPr>
        <w:t>Appendix 12</w:t>
      </w:r>
      <w:r>
        <w:rPr>
          <w:rFonts w:ascii="Arial" w:hAnsi="Arial" w:cs="Arial"/>
          <w:bCs/>
          <w:lang w:val="de-D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1100"/>
        <w:gridCol w:w="1441"/>
        <w:gridCol w:w="1706"/>
        <w:gridCol w:w="2798"/>
        <w:gridCol w:w="1100"/>
        <w:gridCol w:w="1037"/>
      </w:tblGrid>
      <w:tr w:rsidR="009E0277" w:rsidRPr="00DE4A33" w14:paraId="0FBBB520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390520C7" w14:textId="79C3FD36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</w:p>
        </w:tc>
        <w:tc>
          <w:tcPr>
            <w:tcW w:w="1029" w:type="dxa"/>
            <w:noWrap/>
            <w:hideMark/>
          </w:tcPr>
          <w:p w14:paraId="14C73B6D" w14:textId="137E5353" w:rsidR="00DE4A33" w:rsidRPr="00DE4A33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R</w:t>
            </w:r>
            <w:r>
              <w:rPr>
                <w:rFonts w:ascii="Arial" w:eastAsia="ＭＳ Ｐゴシック" w:hAnsi="Arial" w:cs="Arial"/>
                <w:bCs/>
                <w:sz w:val="24"/>
                <w:szCs w:val="24"/>
              </w:rPr>
              <w:t>evised standard number</w:t>
            </w:r>
          </w:p>
        </w:tc>
        <w:tc>
          <w:tcPr>
            <w:tcW w:w="1436" w:type="dxa"/>
            <w:noWrap/>
            <w:hideMark/>
          </w:tcPr>
          <w:p w14:paraId="3A3F82DD" w14:textId="08EF8B63" w:rsidR="00DE4A33" w:rsidRPr="00DE4A33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H</w:t>
            </w:r>
            <w:r>
              <w:rPr>
                <w:rFonts w:ascii="Arial" w:eastAsia="ＭＳ Ｐゴシック" w:hAnsi="Arial" w:cs="Arial"/>
                <w:bCs/>
                <w:sz w:val="24"/>
                <w:szCs w:val="24"/>
              </w:rPr>
              <w:t>armonized standard (JIS etc.)</w:t>
            </w:r>
          </w:p>
        </w:tc>
        <w:tc>
          <w:tcPr>
            <w:tcW w:w="1695" w:type="dxa"/>
            <w:noWrap/>
            <w:hideMark/>
          </w:tcPr>
          <w:p w14:paraId="318C2FF4" w14:textId="1FFB4AD9" w:rsidR="00DE4A33" w:rsidRPr="00DE4A33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C</w:t>
            </w:r>
            <w:r>
              <w:rPr>
                <w:rFonts w:ascii="Arial" w:eastAsia="ＭＳ Ｐゴシック" w:hAnsi="Arial" w:cs="Arial"/>
                <w:bCs/>
                <w:sz w:val="24"/>
                <w:szCs w:val="24"/>
              </w:rPr>
              <w:t>orresponding IEC standard</w:t>
            </w:r>
          </w:p>
        </w:tc>
        <w:tc>
          <w:tcPr>
            <w:tcW w:w="2945" w:type="dxa"/>
            <w:noWrap/>
            <w:hideMark/>
          </w:tcPr>
          <w:p w14:paraId="6A186B0C" w14:textId="5FEC025E" w:rsidR="00DE4A33" w:rsidRPr="00DE4A33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T</w:t>
            </w:r>
            <w:r>
              <w:rPr>
                <w:rFonts w:ascii="Arial" w:eastAsia="ＭＳ Ｐゴシック" w:hAnsi="Arial" w:cs="Arial"/>
                <w:bCs/>
                <w:sz w:val="24"/>
                <w:szCs w:val="24"/>
              </w:rPr>
              <w:t>itle</w:t>
            </w:r>
          </w:p>
        </w:tc>
        <w:tc>
          <w:tcPr>
            <w:tcW w:w="1029" w:type="dxa"/>
            <w:noWrap/>
            <w:hideMark/>
          </w:tcPr>
          <w:p w14:paraId="45CF892B" w14:textId="69EBB56A" w:rsidR="00DE4A33" w:rsidRPr="00DE4A33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C</w:t>
            </w:r>
            <w:r>
              <w:rPr>
                <w:rFonts w:ascii="Arial" w:eastAsia="ＭＳ Ｐゴシック" w:hAnsi="Arial" w:cs="Arial"/>
                <w:bCs/>
                <w:sz w:val="24"/>
                <w:szCs w:val="24"/>
              </w:rPr>
              <w:t>urrent standard number</w:t>
            </w:r>
          </w:p>
        </w:tc>
        <w:tc>
          <w:tcPr>
            <w:tcW w:w="1029" w:type="dxa"/>
            <w:noWrap/>
            <w:hideMark/>
          </w:tcPr>
          <w:p w14:paraId="45CE2058" w14:textId="1D0A4E45" w:rsidR="00DE4A33" w:rsidRPr="00DE4A33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C</w:t>
            </w:r>
            <w:r>
              <w:rPr>
                <w:rFonts w:ascii="Arial" w:eastAsia="ＭＳ Ｐゴシック" w:hAnsi="Arial" w:cs="Arial"/>
                <w:bCs/>
                <w:sz w:val="24"/>
                <w:szCs w:val="24"/>
              </w:rPr>
              <w:t>urrent text</w:t>
            </w:r>
          </w:p>
        </w:tc>
      </w:tr>
      <w:tr w:rsidR="00DE4A33" w:rsidRPr="00DE4A33" w14:paraId="11630CEB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2F204858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noWrap/>
            <w:hideMark/>
          </w:tcPr>
          <w:p w14:paraId="048428E5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J60335-2-29 (2023)</w:t>
            </w:r>
          </w:p>
        </w:tc>
        <w:tc>
          <w:tcPr>
            <w:tcW w:w="1436" w:type="dxa"/>
            <w:noWrap/>
            <w:hideMark/>
          </w:tcPr>
          <w:p w14:paraId="5D219342" w14:textId="0DEFA49C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9335-2-29:2019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＋</w:t>
            </w:r>
            <w:r w:rsidR="00550BA7"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A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md.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1:2023</w:t>
            </w:r>
          </w:p>
        </w:tc>
        <w:tc>
          <w:tcPr>
            <w:tcW w:w="1695" w:type="dxa"/>
            <w:noWrap/>
            <w:hideMark/>
          </w:tcPr>
          <w:p w14:paraId="6C1B4269" w14:textId="52B92A08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60335-2-29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Ed.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5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(2016)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＋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Amd.1(2019)</w:t>
            </w:r>
          </w:p>
        </w:tc>
        <w:tc>
          <w:tcPr>
            <w:tcW w:w="2945" w:type="dxa"/>
            <w:noWrap/>
            <w:hideMark/>
          </w:tcPr>
          <w:p w14:paraId="7D4820A6" w14:textId="49D6718E" w:rsidR="00550BA7" w:rsidRPr="00550BA7" w:rsidRDefault="00550BA7" w:rsidP="00550BA7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Household and similar electrical appliances-Safety- </w:t>
            </w:r>
          </w:p>
          <w:p w14:paraId="6CCFA483" w14:textId="53196E13" w:rsidR="00DE4A33" w:rsidRPr="00DE4A33" w:rsidRDefault="00550BA7" w:rsidP="00550BA7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Part 2-29: Particular requirements for battery chargers</w:t>
            </w:r>
          </w:p>
        </w:tc>
        <w:tc>
          <w:tcPr>
            <w:tcW w:w="1029" w:type="dxa"/>
            <w:noWrap/>
            <w:hideMark/>
          </w:tcPr>
          <w:p w14:paraId="74E724DB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J60335-2-29 (2019)</w:t>
            </w:r>
          </w:p>
        </w:tc>
        <w:tc>
          <w:tcPr>
            <w:tcW w:w="1029" w:type="dxa"/>
            <w:noWrap/>
            <w:hideMark/>
          </w:tcPr>
          <w:p w14:paraId="627DDBB8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9335-2-29:2019</w:t>
            </w:r>
          </w:p>
        </w:tc>
      </w:tr>
      <w:tr w:rsidR="00DE4A33" w:rsidRPr="00DE4A33" w14:paraId="75F42AFB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1FF35C81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  <w:noWrap/>
            <w:hideMark/>
          </w:tcPr>
          <w:p w14:paraId="56307F21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J60335-2-32 (2023)</w:t>
            </w:r>
          </w:p>
        </w:tc>
        <w:tc>
          <w:tcPr>
            <w:tcW w:w="1436" w:type="dxa"/>
            <w:noWrap/>
            <w:hideMark/>
          </w:tcPr>
          <w:p w14:paraId="1D89ECA8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9335-2-32:2023</w:t>
            </w:r>
          </w:p>
        </w:tc>
        <w:tc>
          <w:tcPr>
            <w:tcW w:w="1695" w:type="dxa"/>
            <w:noWrap/>
            <w:hideMark/>
          </w:tcPr>
          <w:p w14:paraId="4F48B070" w14:textId="2A05153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60335-2-32</w:t>
            </w:r>
            <w:r w:rsidR="00550BA7"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 xml:space="preserve"> 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Ed.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5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(2019)</w:t>
            </w:r>
          </w:p>
        </w:tc>
        <w:tc>
          <w:tcPr>
            <w:tcW w:w="2945" w:type="dxa"/>
            <w:noWrap/>
            <w:hideMark/>
          </w:tcPr>
          <w:p w14:paraId="2EDDCC3E" w14:textId="0E7D63A1" w:rsidR="00550BA7" w:rsidRPr="00550BA7" w:rsidRDefault="00550BA7" w:rsidP="00550BA7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Household and similar electrical appliances-Safety- </w:t>
            </w:r>
          </w:p>
          <w:p w14:paraId="32A59680" w14:textId="0D8A5221" w:rsidR="00DE4A33" w:rsidRPr="00DE4A33" w:rsidRDefault="00550BA7" w:rsidP="00550BA7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Part 2-32: Particular requirements for massage appliances</w:t>
            </w:r>
          </w:p>
        </w:tc>
        <w:tc>
          <w:tcPr>
            <w:tcW w:w="1029" w:type="dxa"/>
            <w:noWrap/>
            <w:hideMark/>
          </w:tcPr>
          <w:p w14:paraId="158B6FDD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J60335-2-32 (H30)</w:t>
            </w:r>
          </w:p>
        </w:tc>
        <w:tc>
          <w:tcPr>
            <w:tcW w:w="1029" w:type="dxa"/>
            <w:noWrap/>
            <w:hideMark/>
          </w:tcPr>
          <w:p w14:paraId="214F3014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9335-2-32:2018</w:t>
            </w:r>
          </w:p>
        </w:tc>
      </w:tr>
      <w:tr w:rsidR="00DE4A33" w:rsidRPr="00DE4A33" w14:paraId="27DDABAE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3321D678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noWrap/>
            <w:hideMark/>
          </w:tcPr>
          <w:p w14:paraId="342D9A07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J60335-2-40 (2023)</w:t>
            </w:r>
          </w:p>
        </w:tc>
        <w:tc>
          <w:tcPr>
            <w:tcW w:w="1436" w:type="dxa"/>
            <w:noWrap/>
            <w:hideMark/>
          </w:tcPr>
          <w:p w14:paraId="547ACF9D" w14:textId="080C42F8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9335-2-40:2022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  <w:t>+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Amd.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1:2023</w:t>
            </w:r>
          </w:p>
        </w:tc>
        <w:tc>
          <w:tcPr>
            <w:tcW w:w="1695" w:type="dxa"/>
            <w:noWrap/>
            <w:hideMark/>
          </w:tcPr>
          <w:p w14:paraId="067BA869" w14:textId="04A4467C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60335-2-40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Ed.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6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(2018)</w:t>
            </w:r>
          </w:p>
        </w:tc>
        <w:tc>
          <w:tcPr>
            <w:tcW w:w="2945" w:type="dxa"/>
            <w:noWrap/>
            <w:hideMark/>
          </w:tcPr>
          <w:p w14:paraId="552C4356" w14:textId="77777777" w:rsidR="00550BA7" w:rsidRDefault="00550BA7" w:rsidP="00550BA7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Household and similar electrical appliances−</w:t>
            </w:r>
          </w:p>
          <w:p w14:paraId="06265FDE" w14:textId="65D5C67B" w:rsidR="00550BA7" w:rsidRPr="00550BA7" w:rsidRDefault="00550BA7" w:rsidP="00550BA7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Safety− </w:t>
            </w:r>
          </w:p>
          <w:p w14:paraId="5908D314" w14:textId="4ECF0563" w:rsidR="00550BA7" w:rsidRPr="00550BA7" w:rsidRDefault="00550BA7" w:rsidP="00550BA7">
            <w:pPr>
              <w:spacing w:after="0" w:line="240" w:lineRule="atLeast"/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Part 2-40: Particular requirements for</w:t>
            </w: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 xml:space="preserve">　</w:t>
            </w:r>
            <w:r w:rsidRPr="00550BA7"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electrical heat pumps</w:t>
            </w:r>
            <w:r w:rsidRPr="00550BA7"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>，</w:t>
            </w:r>
            <w:r w:rsidRPr="00550BA7"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 xml:space="preserve"> </w:t>
            </w:r>
          </w:p>
          <w:p w14:paraId="50F8669C" w14:textId="22F9BAC4" w:rsidR="00DE4A33" w:rsidRPr="00DE4A33" w:rsidRDefault="00550BA7" w:rsidP="00550BA7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air-conditioners and dehumidifiers</w:t>
            </w:r>
          </w:p>
        </w:tc>
        <w:tc>
          <w:tcPr>
            <w:tcW w:w="1029" w:type="dxa"/>
            <w:noWrap/>
            <w:hideMark/>
          </w:tcPr>
          <w:p w14:paraId="64855DCA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J60335-2-40 (H20)</w:t>
            </w:r>
          </w:p>
        </w:tc>
        <w:tc>
          <w:tcPr>
            <w:tcW w:w="1029" w:type="dxa"/>
            <w:noWrap/>
            <w:hideMark/>
          </w:tcPr>
          <w:p w14:paraId="6B6BF688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9335-2-40:2004</w:t>
            </w:r>
          </w:p>
        </w:tc>
      </w:tr>
      <w:tr w:rsidR="00DE4A33" w:rsidRPr="00DE4A33" w14:paraId="15F0CC50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7E0FF7D1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29" w:type="dxa"/>
            <w:noWrap/>
            <w:hideMark/>
          </w:tcPr>
          <w:p w14:paraId="45A30350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J60335-2-60 (2023)</w:t>
            </w:r>
          </w:p>
        </w:tc>
        <w:tc>
          <w:tcPr>
            <w:tcW w:w="1436" w:type="dxa"/>
            <w:noWrap/>
            <w:hideMark/>
          </w:tcPr>
          <w:p w14:paraId="19C2ED9B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9335-2-60:2023</w:t>
            </w:r>
          </w:p>
        </w:tc>
        <w:tc>
          <w:tcPr>
            <w:tcW w:w="1695" w:type="dxa"/>
            <w:noWrap/>
            <w:hideMark/>
          </w:tcPr>
          <w:p w14:paraId="6622091B" w14:textId="2D0DABCE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60335-2-60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Ed.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4</w:t>
            </w:r>
            <w:r w:rsid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(2017)</w:t>
            </w:r>
          </w:p>
        </w:tc>
        <w:tc>
          <w:tcPr>
            <w:tcW w:w="2945" w:type="dxa"/>
            <w:noWrap/>
            <w:hideMark/>
          </w:tcPr>
          <w:p w14:paraId="2D619D93" w14:textId="567F146D" w:rsidR="00550BA7" w:rsidRPr="00550BA7" w:rsidRDefault="00550BA7" w:rsidP="00550BA7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Household and similar electrical appliances-Safety- </w:t>
            </w:r>
          </w:p>
          <w:p w14:paraId="42C43AAF" w14:textId="039FD11B" w:rsidR="00DE4A33" w:rsidRPr="00DE4A33" w:rsidRDefault="00550BA7" w:rsidP="00550BA7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Part 2-60: Particular requirements for whirlpool baths,</w:t>
            </w:r>
            <w:r>
              <w:rPr>
                <w:rFonts w:ascii="Arial" w:eastAsia="ＭＳ Ｐゴシック" w:hAnsi="Arial" w:cs="Arial" w:hint="eastAsia"/>
                <w:bCs/>
                <w:sz w:val="24"/>
                <w:szCs w:val="24"/>
              </w:rPr>
              <w:t xml:space="preserve">　</w:t>
            </w: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whirlpool spas and similar appliances</w:t>
            </w:r>
          </w:p>
        </w:tc>
        <w:tc>
          <w:tcPr>
            <w:tcW w:w="1029" w:type="dxa"/>
            <w:noWrap/>
            <w:hideMark/>
          </w:tcPr>
          <w:p w14:paraId="7D0C184C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J60335-2-60 (H30)</w:t>
            </w:r>
          </w:p>
        </w:tc>
        <w:tc>
          <w:tcPr>
            <w:tcW w:w="1029" w:type="dxa"/>
            <w:noWrap/>
            <w:hideMark/>
          </w:tcPr>
          <w:p w14:paraId="540D1BD0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9335-2-60:2017</w:t>
            </w:r>
          </w:p>
        </w:tc>
      </w:tr>
      <w:tr w:rsidR="00DE4A33" w:rsidRPr="00DE4A33" w14:paraId="7755661C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51DAD30E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noWrap/>
            <w:hideMark/>
          </w:tcPr>
          <w:p w14:paraId="52DFB08D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J60335-2-96 (2023)</w:t>
            </w:r>
          </w:p>
        </w:tc>
        <w:tc>
          <w:tcPr>
            <w:tcW w:w="1436" w:type="dxa"/>
            <w:noWrap/>
            <w:hideMark/>
          </w:tcPr>
          <w:p w14:paraId="6A8503B6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9335-2-96:2023</w:t>
            </w:r>
          </w:p>
        </w:tc>
        <w:tc>
          <w:tcPr>
            <w:tcW w:w="1695" w:type="dxa"/>
            <w:noWrap/>
            <w:hideMark/>
          </w:tcPr>
          <w:p w14:paraId="0BEC4BF1" w14:textId="3C81C753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60335-2-96</w:t>
            </w:r>
            <w:r w:rsid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Ed.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2</w:t>
            </w:r>
            <w:r w:rsid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(2019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）</w:t>
            </w:r>
          </w:p>
        </w:tc>
        <w:tc>
          <w:tcPr>
            <w:tcW w:w="2945" w:type="dxa"/>
            <w:noWrap/>
            <w:hideMark/>
          </w:tcPr>
          <w:p w14:paraId="38C04CE1" w14:textId="1CABC243" w:rsidR="00550BA7" w:rsidRPr="00550BA7" w:rsidRDefault="00550BA7" w:rsidP="00550BA7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Household and similar electrical appliances-Safety- </w:t>
            </w:r>
          </w:p>
          <w:p w14:paraId="032A0278" w14:textId="2730F821" w:rsidR="00DE4A33" w:rsidRPr="00DE4A33" w:rsidRDefault="00550BA7" w:rsidP="00E20947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Part 2-96: Particular requirements for flexible sheet heating</w:t>
            </w:r>
            <w:r w:rsid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550BA7">
              <w:rPr>
                <w:rFonts w:ascii="Arial" w:eastAsia="ＭＳ Ｐゴシック" w:hAnsi="Arial" w:cs="Arial"/>
                <w:bCs/>
                <w:sz w:val="24"/>
                <w:szCs w:val="24"/>
              </w:rPr>
              <w:t>elements and equipment using them for room heating</w:t>
            </w:r>
          </w:p>
        </w:tc>
        <w:tc>
          <w:tcPr>
            <w:tcW w:w="1029" w:type="dxa"/>
            <w:noWrap/>
            <w:hideMark/>
          </w:tcPr>
          <w:p w14:paraId="7DAD659F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J60335-2-96 (2019)</w:t>
            </w:r>
          </w:p>
        </w:tc>
        <w:tc>
          <w:tcPr>
            <w:tcW w:w="1029" w:type="dxa"/>
            <w:noWrap/>
            <w:hideMark/>
          </w:tcPr>
          <w:p w14:paraId="00206F2B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9335-2-96:2019</w:t>
            </w:r>
          </w:p>
        </w:tc>
      </w:tr>
      <w:tr w:rsidR="00DE4A33" w:rsidRPr="00DE4A33" w14:paraId="584A1253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223B47CC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029" w:type="dxa"/>
            <w:noWrap/>
            <w:hideMark/>
          </w:tcPr>
          <w:p w14:paraId="573E1621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J60947-4-1 (2023)</w:t>
            </w:r>
          </w:p>
        </w:tc>
        <w:tc>
          <w:tcPr>
            <w:tcW w:w="1436" w:type="dxa"/>
            <w:noWrap/>
            <w:hideMark/>
          </w:tcPr>
          <w:p w14:paraId="03E3D299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8201-4-1:2023</w:t>
            </w:r>
          </w:p>
        </w:tc>
        <w:tc>
          <w:tcPr>
            <w:tcW w:w="1695" w:type="dxa"/>
            <w:noWrap/>
            <w:hideMark/>
          </w:tcPr>
          <w:p w14:paraId="5612EC8E" w14:textId="6749FB89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60947-4-1</w:t>
            </w:r>
            <w:r w:rsid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Ed.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4</w:t>
            </w:r>
            <w:r w:rsid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(2018)</w:t>
            </w:r>
          </w:p>
        </w:tc>
        <w:tc>
          <w:tcPr>
            <w:tcW w:w="2945" w:type="dxa"/>
            <w:noWrap/>
            <w:hideMark/>
          </w:tcPr>
          <w:p w14:paraId="389A5377" w14:textId="0F12E87F" w:rsidR="00E20947" w:rsidRPr="00E20947" w:rsidRDefault="00E20947" w:rsidP="00E20947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Low-voltage switchgear and controlgear- </w:t>
            </w:r>
          </w:p>
          <w:p w14:paraId="4CB32F79" w14:textId="77777777" w:rsidR="00E20947" w:rsidRPr="00E20947" w:rsidRDefault="00E20947" w:rsidP="00E20947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Part 4-1: Contactors and motor-starters- </w:t>
            </w:r>
          </w:p>
          <w:p w14:paraId="2F09ED89" w14:textId="256FD2FC" w:rsidR="00DE4A33" w:rsidRPr="00DE4A33" w:rsidRDefault="00E20947" w:rsidP="00E20947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>Electromechanical contactors and motor-starters</w:t>
            </w:r>
          </w:p>
        </w:tc>
        <w:tc>
          <w:tcPr>
            <w:tcW w:w="1029" w:type="dxa"/>
            <w:noWrap/>
            <w:hideMark/>
          </w:tcPr>
          <w:p w14:paraId="2AEA7477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J60947-4-1 (2020)</w:t>
            </w:r>
          </w:p>
        </w:tc>
        <w:tc>
          <w:tcPr>
            <w:tcW w:w="1029" w:type="dxa"/>
            <w:noWrap/>
            <w:hideMark/>
          </w:tcPr>
          <w:p w14:paraId="7F82CEF2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8201-4-1:2020</w:t>
            </w:r>
          </w:p>
        </w:tc>
      </w:tr>
      <w:tr w:rsidR="00DE4A33" w:rsidRPr="00DE4A33" w14:paraId="04B54899" w14:textId="77777777" w:rsidTr="00720350">
        <w:trPr>
          <w:trHeight w:val="264"/>
        </w:trPr>
        <w:tc>
          <w:tcPr>
            <w:tcW w:w="573" w:type="dxa"/>
            <w:noWrap/>
            <w:hideMark/>
          </w:tcPr>
          <w:p w14:paraId="2CADD019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029" w:type="dxa"/>
            <w:noWrap/>
            <w:hideMark/>
          </w:tcPr>
          <w:p w14:paraId="23150FAC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J60974-6 (2023)</w:t>
            </w:r>
          </w:p>
        </w:tc>
        <w:tc>
          <w:tcPr>
            <w:tcW w:w="1436" w:type="dxa"/>
            <w:noWrap/>
            <w:hideMark/>
          </w:tcPr>
          <w:p w14:paraId="7A0702FC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9300-6:2023</w:t>
            </w:r>
          </w:p>
        </w:tc>
        <w:tc>
          <w:tcPr>
            <w:tcW w:w="1695" w:type="dxa"/>
            <w:noWrap/>
            <w:hideMark/>
          </w:tcPr>
          <w:p w14:paraId="7A0A8504" w14:textId="1F53C159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IEC60974-6</w:t>
            </w:r>
            <w:r w:rsid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Ed.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3</w:t>
            </w:r>
            <w:r w:rsid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 xml:space="preserve"> 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(2015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）</w:t>
            </w:r>
          </w:p>
        </w:tc>
        <w:tc>
          <w:tcPr>
            <w:tcW w:w="2945" w:type="dxa"/>
            <w:noWrap/>
            <w:hideMark/>
          </w:tcPr>
          <w:p w14:paraId="009DD3E2" w14:textId="30130591" w:rsidR="00DE4A33" w:rsidRPr="00DE4A33" w:rsidRDefault="00E20947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E20947">
              <w:rPr>
                <w:rFonts w:ascii="Arial" w:eastAsia="ＭＳ Ｐゴシック" w:hAnsi="Arial" w:cs="Arial"/>
                <w:bCs/>
                <w:sz w:val="24"/>
                <w:szCs w:val="24"/>
              </w:rPr>
              <w:t>Arc welding equipment-Part 6: Limited duty equipment</w:t>
            </w:r>
          </w:p>
        </w:tc>
        <w:tc>
          <w:tcPr>
            <w:tcW w:w="1029" w:type="dxa"/>
            <w:noWrap/>
            <w:hideMark/>
          </w:tcPr>
          <w:p w14:paraId="41D62818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J60974-6 (H26)</w:t>
            </w:r>
          </w:p>
        </w:tc>
        <w:tc>
          <w:tcPr>
            <w:tcW w:w="1029" w:type="dxa"/>
            <w:noWrap/>
            <w:hideMark/>
          </w:tcPr>
          <w:p w14:paraId="4FCCF3E4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9300-6:2013</w:t>
            </w:r>
          </w:p>
        </w:tc>
      </w:tr>
    </w:tbl>
    <w:p w14:paraId="7B93DEDE" w14:textId="77777777" w:rsidR="007E5ACA" w:rsidRPr="00BB3AA3" w:rsidRDefault="007E5ACA" w:rsidP="00A9254F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sectPr w:rsidR="007E5ACA" w:rsidRPr="00BB3AA3" w:rsidSect="00997E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BE00" w14:textId="77777777" w:rsidR="00093B0F" w:rsidRDefault="00093B0F" w:rsidP="003834CE">
      <w:pPr>
        <w:spacing w:after="0" w:line="240" w:lineRule="auto"/>
      </w:pPr>
      <w:r>
        <w:separator/>
      </w:r>
    </w:p>
  </w:endnote>
  <w:endnote w:type="continuationSeparator" w:id="0">
    <w:p w14:paraId="6880F76B" w14:textId="77777777" w:rsidR="00093B0F" w:rsidRDefault="00093B0F" w:rsidP="0038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CFDD" w14:textId="77777777" w:rsidR="00093B0F" w:rsidRDefault="00093B0F" w:rsidP="003834CE">
      <w:pPr>
        <w:spacing w:after="0" w:line="240" w:lineRule="auto"/>
      </w:pPr>
      <w:r>
        <w:separator/>
      </w:r>
    </w:p>
  </w:footnote>
  <w:footnote w:type="continuationSeparator" w:id="0">
    <w:p w14:paraId="01D612FE" w14:textId="77777777" w:rsidR="00093B0F" w:rsidRDefault="00093B0F" w:rsidP="0038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6DB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66ECF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837F3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61087"/>
    <w:multiLevelType w:val="hybridMultilevel"/>
    <w:tmpl w:val="D5969BDC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292D"/>
    <w:multiLevelType w:val="hybridMultilevel"/>
    <w:tmpl w:val="C28272AE"/>
    <w:lvl w:ilvl="0" w:tplc="0224794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7B688E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9567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1460">
    <w:abstractNumId w:val="2"/>
  </w:num>
  <w:num w:numId="3" w16cid:durableId="349187089">
    <w:abstractNumId w:val="5"/>
  </w:num>
  <w:num w:numId="4" w16cid:durableId="864635567">
    <w:abstractNumId w:val="3"/>
  </w:num>
  <w:num w:numId="5" w16cid:durableId="463816977">
    <w:abstractNumId w:val="1"/>
  </w:num>
  <w:num w:numId="6" w16cid:durableId="1366561663">
    <w:abstractNumId w:val="0"/>
  </w:num>
  <w:num w:numId="7" w16cid:durableId="111740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A3"/>
    <w:rsid w:val="00003254"/>
    <w:rsid w:val="000044EF"/>
    <w:rsid w:val="00013F59"/>
    <w:rsid w:val="00093B0F"/>
    <w:rsid w:val="000954CC"/>
    <w:rsid w:val="0009561B"/>
    <w:rsid w:val="000B2446"/>
    <w:rsid w:val="000D6737"/>
    <w:rsid w:val="001065D4"/>
    <w:rsid w:val="00122B70"/>
    <w:rsid w:val="00170A3B"/>
    <w:rsid w:val="00171026"/>
    <w:rsid w:val="001B66C4"/>
    <w:rsid w:val="001C0E97"/>
    <w:rsid w:val="001D74BC"/>
    <w:rsid w:val="001E3A3F"/>
    <w:rsid w:val="001F4576"/>
    <w:rsid w:val="00203935"/>
    <w:rsid w:val="002109D4"/>
    <w:rsid w:val="00224EBA"/>
    <w:rsid w:val="002325BE"/>
    <w:rsid w:val="00232F7E"/>
    <w:rsid w:val="00246B40"/>
    <w:rsid w:val="002D4554"/>
    <w:rsid w:val="002D6795"/>
    <w:rsid w:val="002F12F5"/>
    <w:rsid w:val="00303DF3"/>
    <w:rsid w:val="0034023C"/>
    <w:rsid w:val="0034679A"/>
    <w:rsid w:val="0035031E"/>
    <w:rsid w:val="0035426E"/>
    <w:rsid w:val="0036596C"/>
    <w:rsid w:val="003834CE"/>
    <w:rsid w:val="003A0C35"/>
    <w:rsid w:val="003C6FE3"/>
    <w:rsid w:val="003E7115"/>
    <w:rsid w:val="004546CD"/>
    <w:rsid w:val="004620B7"/>
    <w:rsid w:val="0046287A"/>
    <w:rsid w:val="004A0329"/>
    <w:rsid w:val="004C3D7C"/>
    <w:rsid w:val="004F4BEE"/>
    <w:rsid w:val="004F7C4F"/>
    <w:rsid w:val="00507A75"/>
    <w:rsid w:val="00526E50"/>
    <w:rsid w:val="00540286"/>
    <w:rsid w:val="00550BA7"/>
    <w:rsid w:val="0058529F"/>
    <w:rsid w:val="00597167"/>
    <w:rsid w:val="005A6E70"/>
    <w:rsid w:val="005D249A"/>
    <w:rsid w:val="005F7F34"/>
    <w:rsid w:val="006078BC"/>
    <w:rsid w:val="006624A4"/>
    <w:rsid w:val="006979CC"/>
    <w:rsid w:val="006B7E7C"/>
    <w:rsid w:val="006D1BF7"/>
    <w:rsid w:val="006E6F2C"/>
    <w:rsid w:val="006F3269"/>
    <w:rsid w:val="0070617C"/>
    <w:rsid w:val="00710391"/>
    <w:rsid w:val="00720350"/>
    <w:rsid w:val="00726B6C"/>
    <w:rsid w:val="0073089C"/>
    <w:rsid w:val="007415B0"/>
    <w:rsid w:val="00785C99"/>
    <w:rsid w:val="007A74E5"/>
    <w:rsid w:val="007C0644"/>
    <w:rsid w:val="007D3964"/>
    <w:rsid w:val="007E5ACA"/>
    <w:rsid w:val="0081142B"/>
    <w:rsid w:val="00825ED2"/>
    <w:rsid w:val="008327FB"/>
    <w:rsid w:val="00865A23"/>
    <w:rsid w:val="00867B95"/>
    <w:rsid w:val="008C755B"/>
    <w:rsid w:val="00997E1D"/>
    <w:rsid w:val="009E0277"/>
    <w:rsid w:val="009F6844"/>
    <w:rsid w:val="00A21E8C"/>
    <w:rsid w:val="00A411A9"/>
    <w:rsid w:val="00A63848"/>
    <w:rsid w:val="00A80433"/>
    <w:rsid w:val="00A9254F"/>
    <w:rsid w:val="00AA4981"/>
    <w:rsid w:val="00AD09CC"/>
    <w:rsid w:val="00AE34CA"/>
    <w:rsid w:val="00B3253F"/>
    <w:rsid w:val="00B33889"/>
    <w:rsid w:val="00B41028"/>
    <w:rsid w:val="00B44658"/>
    <w:rsid w:val="00B5610E"/>
    <w:rsid w:val="00B57C63"/>
    <w:rsid w:val="00BA371D"/>
    <w:rsid w:val="00BB3AA3"/>
    <w:rsid w:val="00BD55C1"/>
    <w:rsid w:val="00C06EDF"/>
    <w:rsid w:val="00C73450"/>
    <w:rsid w:val="00C80076"/>
    <w:rsid w:val="00CA05D1"/>
    <w:rsid w:val="00CD3689"/>
    <w:rsid w:val="00D205F1"/>
    <w:rsid w:val="00D44DA5"/>
    <w:rsid w:val="00D730B1"/>
    <w:rsid w:val="00D94DDB"/>
    <w:rsid w:val="00DE4A33"/>
    <w:rsid w:val="00DF3538"/>
    <w:rsid w:val="00E20947"/>
    <w:rsid w:val="00E60351"/>
    <w:rsid w:val="00E91C00"/>
    <w:rsid w:val="00EA59CD"/>
    <w:rsid w:val="00ED7E1B"/>
    <w:rsid w:val="00EE2114"/>
    <w:rsid w:val="00EF2D53"/>
    <w:rsid w:val="00F15C21"/>
    <w:rsid w:val="00F21FDE"/>
    <w:rsid w:val="00F26921"/>
    <w:rsid w:val="00F30217"/>
    <w:rsid w:val="00F36EEF"/>
    <w:rsid w:val="00F66879"/>
    <w:rsid w:val="00F7570C"/>
    <w:rsid w:val="00F83508"/>
    <w:rsid w:val="00FA1274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B342"/>
  <w15:chartTrackingRefBased/>
  <w15:docId w15:val="{75A75109-7114-4025-B74D-E8629F19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B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B3AA3"/>
  </w:style>
  <w:style w:type="character" w:styleId="Hyperlink">
    <w:name w:val="Hyperlink"/>
    <w:basedOn w:val="DefaultParagraphFont"/>
    <w:uiPriority w:val="99"/>
    <w:unhideWhenUsed/>
    <w:rsid w:val="00BB3A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AA3"/>
    <w:pPr>
      <w:spacing w:after="0" w:line="240" w:lineRule="auto"/>
      <w:ind w:left="720"/>
    </w:pPr>
    <w:rPr>
      <w:rFonts w:ascii="Calibri" w:eastAsia="ＭＳ Ｐゴシック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730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0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921"/>
    <w:pPr>
      <w:autoSpaceDE w:val="0"/>
      <w:autoSpaceDN w:val="0"/>
      <w:adjustRightInd w:val="0"/>
      <w:spacing w:after="0" w:line="240" w:lineRule="auto"/>
    </w:pPr>
    <w:rPr>
      <w:rFonts w:ascii="MS" w:eastAsia="MS" w:cs="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CE"/>
  </w:style>
  <w:style w:type="paragraph" w:styleId="Footer">
    <w:name w:val="footer"/>
    <w:basedOn w:val="Normal"/>
    <w:link w:val="Foot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69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0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2B7B1-3290-4729-A701-6D9F9E6790DB}"/>
</file>

<file path=customXml/itemProps2.xml><?xml version="1.0" encoding="utf-8"?>
<ds:datastoreItem xmlns:ds="http://schemas.openxmlformats.org/officeDocument/2006/customXml" ds:itemID="{771A1BB8-BBA1-4599-A669-1D41460023AF}"/>
</file>

<file path=customXml/itemProps3.xml><?xml version="1.0" encoding="utf-8"?>
<ds:datastoreItem xmlns:ds="http://schemas.openxmlformats.org/officeDocument/2006/customXml" ds:itemID="{5BD5BD23-2D4F-4ED5-B6A0-17EDA7F8E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Yoshiie</dc:creator>
  <cp:keywords/>
  <dc:description/>
  <cp:lastModifiedBy>Miyuki Minami</cp:lastModifiedBy>
  <cp:revision>76</cp:revision>
  <dcterms:created xsi:type="dcterms:W3CDTF">2018-02-07T06:13:00Z</dcterms:created>
  <dcterms:modified xsi:type="dcterms:W3CDTF">2023-07-31T02:19:00Z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2021-08-03T05:21:54Z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1ae98ca5-e907-4e64-8efb-9e9b9150e5ef</vt:lpwstr>
  </property>
  <property fmtid="{D5CDD505-2E9C-101B-9397-08002B2CF9AE}" pid="8" name="MSIP_Label_d3d538fd-7cd2-4b8b-bd42-f6ee8cc1e568_ContentBits">
    <vt:lpwstr>0</vt:lpwstr>
  </property>
</Properties>
</file>